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DE9" w:rsidRDefault="004E6607">
      <w:pPr>
        <w:pStyle w:val="Nadpis1"/>
        <w:rPr>
          <w:color w:val="4472C4" w:themeColor="accent1"/>
        </w:rPr>
      </w:pPr>
      <w:r>
        <w:rPr>
          <w:color w:val="4472C4" w:themeColor="accent1"/>
        </w:rPr>
        <w:t>Výsledek soudních sporů o územní plán obce Příšovice</w:t>
      </w:r>
    </w:p>
    <w:p w:rsidR="003B5DE9" w:rsidRDefault="004E6607">
      <w:r>
        <w:rPr>
          <w:b/>
          <w:bCs/>
          <w:i/>
          <w:iCs/>
          <w:color w:val="444444"/>
          <w:sz w:val="26"/>
          <w:szCs w:val="26"/>
        </w:rPr>
        <w:t>Krajský soud v Ústí nad Labem – pobočka v Liberci, 10. června 2026</w:t>
      </w:r>
    </w:p>
    <w:p w:rsidR="003B5DE9" w:rsidRDefault="003B5DE9"/>
    <w:p w:rsidR="003B5DE9" w:rsidRDefault="004E6607">
      <w:pPr>
        <w:pStyle w:val="Nadpis2"/>
        <w:rPr>
          <w:color w:val="4472C4" w:themeColor="accent1"/>
        </w:rPr>
      </w:pPr>
      <w:r>
        <w:rPr>
          <w:color w:val="4472C4" w:themeColor="accent1"/>
        </w:rPr>
        <w:t>O co šlo?</w:t>
      </w:r>
    </w:p>
    <w:p w:rsidR="003B5DE9" w:rsidRDefault="004E6607">
      <w:r>
        <w:t xml:space="preserve">Dvě soukromé firmy – </w:t>
      </w:r>
      <w:r>
        <w:rPr>
          <w:b/>
          <w:bCs/>
        </w:rPr>
        <w:t>Logicor (President Czech) s.r.o.</w:t>
      </w:r>
      <w:r>
        <w:t xml:space="preserve"> a </w:t>
      </w:r>
      <w:r>
        <w:rPr>
          <w:b/>
          <w:bCs/>
        </w:rPr>
        <w:t>FKM s.r.o.</w:t>
      </w:r>
      <w:r>
        <w:t xml:space="preserve"> – podaly k soudu žalobu a chtěly zrušit část změny č. 1 územního plánu Příšovic. Konkrétně nesouhlasily s pravidlem, které omezuje výstavbu nových nadzemních hal v lokalitě bývalé panelárny Interma u Písečáků (tzv. koeficient zastavění nadzemními stavbami</w:t>
      </w:r>
      <w:r>
        <w:t xml:space="preserve"> Kn = 0,30). Toto pravidlo zavedlo zastupitelstvo obce v únoru 2025.</w:t>
      </w:r>
    </w:p>
    <w:p w:rsidR="003B5DE9" w:rsidRDefault="004E6607">
      <w:pPr>
        <w:pStyle w:val="Nadpis2"/>
      </w:pPr>
      <w:r>
        <w:t>Jak soud rozhodl?</w:t>
      </w:r>
    </w:p>
    <w:p w:rsidR="003B5DE9" w:rsidRDefault="004E6607">
      <w:r>
        <w:rPr>
          <w:b/>
          <w:bCs/>
        </w:rPr>
        <w:t>Soud dal za pravdu obci Příšovice. Obě žaloby zamítl.</w:t>
      </w:r>
      <w:r>
        <w:t xml:space="preserve"> Omezení výstavby velkých hal v lokalitě u Písečáků platí dál. Územní plán zůstává beze změny.</w:t>
      </w:r>
    </w:p>
    <w:p w:rsidR="003B5DE9" w:rsidRDefault="004E6607">
      <w:r>
        <w:t>Navíc musí každá z fi</w:t>
      </w:r>
      <w:r>
        <w:t>rem zaplatit obci náhradu nákladů soudního řízení.</w:t>
      </w:r>
    </w:p>
    <w:p w:rsidR="003B5DE9" w:rsidRDefault="004E6607">
      <w:pPr>
        <w:pStyle w:val="Nadpis2"/>
      </w:pPr>
      <w:r>
        <w:t>Proč soud rozhodl ve prospěch obce?</w:t>
      </w:r>
    </w:p>
    <w:p w:rsidR="003B5DE9" w:rsidRDefault="004E6607">
      <w:r>
        <w:t>Soud uznal, že lokalita u Písečáků je ve srovnání s ostatními průmyslovými areály v obci v jiném postavení: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Jediný příjezd do areálu vede přímo středem</w:t>
      </w:r>
      <w:r>
        <w:t xml:space="preserve"> obce, kolem domu s pečovatelskou službou, pošty a knihovny.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Areál bezprostředně sousedí s rekreačními plochami Velkého a Malého Písečáku.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Měření hluku z roku 2017 prokázalo překročení hygienických limitů ještě před zahájením nové výstavby hal.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Ostatní prů</w:t>
      </w:r>
      <w:r>
        <w:t>myslové areály v obci leží přímo u dálnice D10 a nákladní doprava z nich neprochází středem Příšovic.</w:t>
      </w:r>
    </w:p>
    <w:p w:rsidR="003B5DE9" w:rsidRDefault="003B5DE9"/>
    <w:p w:rsidR="003B5DE9" w:rsidRDefault="004E6607">
      <w:r>
        <w:t>Soud potvrdil, že zastupitelstvo je oprávněno tyto místní podmínky v územním plánu zohlednit a přijmout opatření k ochraně pohody bydlení i rekreačního c</w:t>
      </w:r>
      <w:r>
        <w:t>harakteru lokality. Omezení přitom neznamená úplný zákaz výstavby – firmy mohou pozemky v přiměřeném rozsahu nadále využívat a zastavět.</w:t>
      </w:r>
    </w:p>
    <w:p w:rsidR="003B5DE9" w:rsidRDefault="004E6607">
      <w:pPr>
        <w:pStyle w:val="Nadpis2"/>
      </w:pPr>
      <w:r>
        <w:t>Co to znamená pro Příšovice?</w:t>
      </w:r>
    </w:p>
    <w:p w:rsidR="003B5DE9" w:rsidRDefault="004E6607">
      <w:r>
        <w:t>Výsledek soudních řízení je pro obec příznivý: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Změna č. 1 územního plánu je platná a účinn</w:t>
      </w:r>
      <w:r>
        <w:t>á.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Lokalita u Písečáků je před nekontrolovanou výstavbou velkých hal nadále chráněna.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Plánovaná výstavba bytového domu pro seniory v centru obce může pokračovat v souladu s územním plánem.</w:t>
      </w:r>
    </w:p>
    <w:p w:rsidR="003B5DE9" w:rsidRDefault="004E6607">
      <w:pPr>
        <w:pStyle w:val="Odstavecseseznamem"/>
        <w:numPr>
          <w:ilvl w:val="0"/>
          <w:numId w:val="2"/>
        </w:numPr>
      </w:pPr>
      <w:r>
        <w:t>Obci byly přiznány náhrady nákladů řízení od obou firem.</w:t>
      </w:r>
    </w:p>
    <w:p w:rsidR="003B5DE9" w:rsidRDefault="003B5DE9"/>
    <w:p w:rsidR="003B5DE9" w:rsidRDefault="004E6607">
      <w:pPr>
        <w:pStyle w:val="Nadpis2"/>
      </w:pPr>
      <w:r>
        <w:t>Co m</w:t>
      </w:r>
      <w:bookmarkStart w:id="0" w:name="_GoBack"/>
      <w:bookmarkEnd w:id="0"/>
      <w:r>
        <w:t>ůže n</w:t>
      </w:r>
      <w:r>
        <w:t>astat dál?</w:t>
      </w:r>
    </w:p>
    <w:p w:rsidR="003B5DE9" w:rsidRDefault="004E6607">
      <w:r>
        <w:lastRenderedPageBreak/>
        <w:t>Obě firmy mají možnost podat do dvou týdnů od doručení rozsudku kasační stížnost k Nejvyššímu správnímu soudu v Brně. Pokud tak neučiní, nabydou rozsudky právní moci a věc bude pravomocně uzavřena.</w:t>
      </w:r>
    </w:p>
    <w:p w:rsidR="003B5DE9" w:rsidRDefault="003B5DE9"/>
    <w:p w:rsidR="003B5DE9" w:rsidRDefault="003B5DE9"/>
    <w:p w:rsidR="003B5DE9" w:rsidRDefault="004E6607">
      <w:pPr>
        <w:jc w:val="right"/>
      </w:pPr>
      <w:r>
        <w:rPr>
          <w:b/>
          <w:bCs/>
          <w:i/>
          <w:iCs/>
        </w:rPr>
        <w:t>Obec Příšovice  |  červen 2026</w:t>
      </w:r>
    </w:p>
    <w:sectPr w:rsidR="003B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D43E9"/>
    <w:multiLevelType w:val="hybridMultilevel"/>
    <w:tmpl w:val="2D3810A2"/>
    <w:lvl w:ilvl="0" w:tplc="7AF46FC6">
      <w:start w:val="1"/>
      <w:numFmt w:val="bullet"/>
      <w:lvlText w:val="●"/>
      <w:lvlJc w:val="left"/>
      <w:pPr>
        <w:ind w:left="720" w:hanging="360"/>
      </w:pPr>
    </w:lvl>
    <w:lvl w:ilvl="1" w:tplc="8154F13C">
      <w:start w:val="1"/>
      <w:numFmt w:val="bullet"/>
      <w:lvlText w:val="○"/>
      <w:lvlJc w:val="left"/>
      <w:pPr>
        <w:ind w:left="1440" w:hanging="360"/>
      </w:pPr>
    </w:lvl>
    <w:lvl w:ilvl="2" w:tplc="41E441FA">
      <w:start w:val="1"/>
      <w:numFmt w:val="bullet"/>
      <w:lvlText w:val="■"/>
      <w:lvlJc w:val="left"/>
      <w:pPr>
        <w:ind w:left="2160" w:hanging="360"/>
      </w:pPr>
    </w:lvl>
    <w:lvl w:ilvl="3" w:tplc="7D9A0224">
      <w:start w:val="1"/>
      <w:numFmt w:val="bullet"/>
      <w:lvlText w:val="●"/>
      <w:lvlJc w:val="left"/>
      <w:pPr>
        <w:ind w:left="2880" w:hanging="360"/>
      </w:pPr>
    </w:lvl>
    <w:lvl w:ilvl="4" w:tplc="A1DCDDC0">
      <w:start w:val="1"/>
      <w:numFmt w:val="bullet"/>
      <w:lvlText w:val="○"/>
      <w:lvlJc w:val="left"/>
      <w:pPr>
        <w:ind w:left="3600" w:hanging="360"/>
      </w:pPr>
    </w:lvl>
    <w:lvl w:ilvl="5" w:tplc="A11C40EC">
      <w:start w:val="1"/>
      <w:numFmt w:val="bullet"/>
      <w:lvlText w:val="■"/>
      <w:lvlJc w:val="left"/>
      <w:pPr>
        <w:ind w:left="4320" w:hanging="360"/>
      </w:pPr>
    </w:lvl>
    <w:lvl w:ilvl="6" w:tplc="E8C2DC9A">
      <w:start w:val="1"/>
      <w:numFmt w:val="bullet"/>
      <w:lvlText w:val="●"/>
      <w:lvlJc w:val="left"/>
      <w:pPr>
        <w:ind w:left="5040" w:hanging="360"/>
      </w:pPr>
    </w:lvl>
    <w:lvl w:ilvl="7" w:tplc="C1100B6C">
      <w:start w:val="1"/>
      <w:numFmt w:val="bullet"/>
      <w:lvlText w:val="●"/>
      <w:lvlJc w:val="left"/>
      <w:pPr>
        <w:ind w:left="5760" w:hanging="360"/>
      </w:pPr>
    </w:lvl>
    <w:lvl w:ilvl="8" w:tplc="6F9086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2A7F5D"/>
    <w:multiLevelType w:val="hybridMultilevel"/>
    <w:tmpl w:val="B1020E36"/>
    <w:lvl w:ilvl="0" w:tplc="8CF644D0">
      <w:start w:val="1"/>
      <w:numFmt w:val="bullet"/>
      <w:lvlText w:val="•"/>
      <w:lvlJc w:val="left"/>
      <w:pPr>
        <w:ind w:left="720" w:hanging="360"/>
      </w:pPr>
    </w:lvl>
    <w:lvl w:ilvl="1" w:tplc="2BD02E10">
      <w:numFmt w:val="decimal"/>
      <w:lvlText w:val=""/>
      <w:lvlJc w:val="left"/>
    </w:lvl>
    <w:lvl w:ilvl="2" w:tplc="669C0F4A">
      <w:numFmt w:val="decimal"/>
      <w:lvlText w:val=""/>
      <w:lvlJc w:val="left"/>
    </w:lvl>
    <w:lvl w:ilvl="3" w:tplc="F42822F8">
      <w:numFmt w:val="decimal"/>
      <w:lvlText w:val=""/>
      <w:lvlJc w:val="left"/>
    </w:lvl>
    <w:lvl w:ilvl="4" w:tplc="100852D8">
      <w:numFmt w:val="decimal"/>
      <w:lvlText w:val=""/>
      <w:lvlJc w:val="left"/>
    </w:lvl>
    <w:lvl w:ilvl="5" w:tplc="868A032C">
      <w:numFmt w:val="decimal"/>
      <w:lvlText w:val=""/>
      <w:lvlJc w:val="left"/>
    </w:lvl>
    <w:lvl w:ilvl="6" w:tplc="156E9906">
      <w:numFmt w:val="decimal"/>
      <w:lvlText w:val=""/>
      <w:lvlJc w:val="left"/>
    </w:lvl>
    <w:lvl w:ilvl="7" w:tplc="0422F2D8">
      <w:numFmt w:val="decimal"/>
      <w:lvlText w:val=""/>
      <w:lvlJc w:val="left"/>
    </w:lvl>
    <w:lvl w:ilvl="8" w:tplc="10D40ED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A8"/>
    <w:rsid w:val="003B5DE9"/>
    <w:rsid w:val="003C29A8"/>
    <w:rsid w:val="004935F4"/>
    <w:rsid w:val="004E6607"/>
    <w:rsid w:val="006742B1"/>
    <w:rsid w:val="008E7A8C"/>
    <w:rsid w:val="00A464A4"/>
    <w:rsid w:val="00A55F47"/>
    <w:rsid w:val="00C7560C"/>
    <w:rsid w:val="00C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79B3"/>
  <w15:docId w15:val="{D89A2984-E4A6-41DC-940B-7783BF3B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320" w:after="160"/>
      <w:outlineLvl w:val="0"/>
    </w:pPr>
    <w:rPr>
      <w:b/>
      <w:bCs/>
      <w:color w:val="1F4E79"/>
      <w:sz w:val="32"/>
      <w:szCs w:val="32"/>
    </w:rPr>
  </w:style>
  <w:style w:type="paragraph" w:styleId="Nadpis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Starosta</cp:lastModifiedBy>
  <cp:revision>8</cp:revision>
  <cp:lastPrinted>2026-07-03T05:29:00Z</cp:lastPrinted>
  <dcterms:created xsi:type="dcterms:W3CDTF">2026-03-29T15:52:00Z</dcterms:created>
  <dcterms:modified xsi:type="dcterms:W3CDTF">2026-07-03T05:29:00Z</dcterms:modified>
</cp:coreProperties>
</file>